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10" w:right="2" w:hanging="10"/>
        <w:jc w:val="center"/>
        <w:rPr/>
      </w:pPr>
      <w:r>
        <w:rPr>
          <w:b/>
          <w:sz w:val="28"/>
        </w:rPr>
        <w:t xml:space="preserve">NOMAS TIESĪBU IZSOLES NOLIKUMS </w:t>
      </w:r>
    </w:p>
    <w:p>
      <w:pPr>
        <w:pStyle w:val="Normal"/>
        <w:spacing w:lineRule="auto" w:line="259" w:before="0" w:after="19"/>
        <w:ind w:left="51" w:hanging="0"/>
        <w:jc w:val="center"/>
        <w:rPr/>
      </w:pPr>
      <w:r>
        <w:rPr/>
        <w:t xml:space="preserve"> </w:t>
      </w:r>
    </w:p>
    <w:p>
      <w:pPr>
        <w:pStyle w:val="Virsraksts1"/>
        <w:rPr/>
      </w:pPr>
      <w:r>
        <w:rPr/>
        <w:t xml:space="preserve">1. Vispārējie noteikumi </w:t>
      </w:r>
    </w:p>
    <w:p>
      <w:pPr>
        <w:pStyle w:val="Normal"/>
        <w:spacing w:lineRule="auto" w:line="259" w:before="0" w:after="18"/>
        <w:ind w:left="51" w:hanging="0"/>
        <w:jc w:val="center"/>
        <w:rPr/>
      </w:pPr>
      <w:r>
        <w:rPr>
          <w:b/>
        </w:rPr>
        <w:t xml:space="preserve"> </w:t>
      </w:r>
    </w:p>
    <w:p>
      <w:pPr>
        <w:pStyle w:val="Normal"/>
        <w:spacing w:lineRule="auto" w:line="249" w:before="0" w:after="43"/>
        <w:ind w:left="566" w:hanging="566"/>
        <w:jc w:val="left"/>
        <w:rPr/>
      </w:pPr>
      <w:r>
        <w:rPr/>
        <w:t xml:space="preserve">1.1. Izsoles nolikums nosaka kārtību, kādā rakstveida izsolē tiks izsolītas telpas </w:t>
      </w:r>
      <w:r>
        <w:rPr>
          <w:b/>
        </w:rPr>
        <w:t>Liepājā, Kuršu ielā 20, 700 m</w:t>
      </w:r>
      <w:r>
        <w:rPr>
          <w:b/>
          <w:vertAlign w:val="superscript"/>
        </w:rPr>
        <w:t xml:space="preserve">2 </w:t>
      </w:r>
      <w:r>
        <w:rPr>
          <w:b/>
        </w:rPr>
        <w:t>platībā.</w:t>
      </w:r>
      <w:r>
        <w:rPr/>
        <w:t xml:space="preserve"> </w:t>
      </w:r>
    </w:p>
    <w:p>
      <w:pPr>
        <w:pStyle w:val="Normal"/>
        <w:ind w:left="551" w:hanging="566"/>
        <w:rPr/>
      </w:pPr>
      <w:r>
        <w:rPr/>
        <w:t xml:space="preserve">1.2. Nomas līgumā paredzētais telpu izmantošanas mērķis: 1263 - Skolas, universitātes un zinātniskajai pētniecībai paredzēta ēka. </w:t>
      </w:r>
    </w:p>
    <w:p>
      <w:pPr>
        <w:pStyle w:val="Normal"/>
        <w:ind w:left="551" w:hanging="566"/>
        <w:rPr/>
      </w:pPr>
      <w:r>
        <w:rPr/>
        <w:t xml:space="preserve">1.3. Iznomātājs – Liepājas Universitāte, reģistrācijas numurs LV90000036859, juridiskā adrese Lielā iela 14, Liepāja, LV-3401, tālr. 63423568, e-pasts: liepu@liepu.lv, turpmāk tekstā - LiepU.  </w:t>
      </w:r>
    </w:p>
    <w:p>
      <w:pPr>
        <w:pStyle w:val="Normal"/>
        <w:ind w:left="-5" w:hanging="10"/>
        <w:rPr/>
      </w:pPr>
      <w:r>
        <w:rPr/>
        <w:t xml:space="preserve">1.4. Izsoles mērķis ir saņemt nolikumam atbilstošāko piedāvājumu ar augstāko nomas maksu. </w:t>
      </w:r>
    </w:p>
    <w:p>
      <w:pPr>
        <w:pStyle w:val="Normal"/>
        <w:ind w:left="-5" w:hanging="10"/>
        <w:rPr/>
      </w:pPr>
      <w:r>
        <w:rPr/>
        <w:t xml:space="preserve">1.5. Izsoles veids – pirmā rakstveida izsole. </w:t>
      </w:r>
    </w:p>
    <w:p>
      <w:pPr>
        <w:pStyle w:val="Normal"/>
        <w:spacing w:before="0" w:after="0"/>
        <w:ind w:left="551" w:hanging="566"/>
        <w:rPr/>
      </w:pPr>
      <w:r>
        <w:rPr/>
        <w:t>1.6. Telpas tiek nodotas nomā bez aprīkojuma, iekārtām, vai citiem elementiem. Pretendentam nepieciešamie ieguldījumi jāveic pašam, pēc saviem ieskatiem, saskaņā ar šo jomu regulējošajiem Latvijas Republikā spēkā esošajiem normatīvajiem aktiem.</w:t>
      </w:r>
    </w:p>
    <w:p>
      <w:pPr>
        <w:pStyle w:val="Normal"/>
        <w:spacing w:lineRule="auto" w:line="259" w:before="0" w:after="20"/>
        <w:ind w:left="0" w:hanging="0"/>
        <w:jc w:val="left"/>
        <w:rPr/>
      </w:pPr>
      <w:r>
        <w:rPr/>
        <w:t xml:space="preserve"> </w:t>
      </w:r>
    </w:p>
    <w:p>
      <w:pPr>
        <w:pStyle w:val="Virsraksts1"/>
        <w:ind w:left="10" w:right="4" w:hanging="10"/>
        <w:rPr/>
      </w:pPr>
      <w:r>
        <w:rPr/>
        <w:t xml:space="preserve">2. Pretendenti un izsoles izsludināšana </w:t>
      </w:r>
    </w:p>
    <w:p>
      <w:pPr>
        <w:pStyle w:val="Normal"/>
        <w:spacing w:lineRule="auto" w:line="259" w:before="0" w:after="20"/>
        <w:ind w:left="411" w:hanging="0"/>
        <w:jc w:val="center"/>
        <w:rPr/>
      </w:pPr>
      <w:r>
        <w:rPr>
          <w:b/>
        </w:rPr>
        <w:t xml:space="preserve"> </w:t>
      </w:r>
    </w:p>
    <w:p>
      <w:pPr>
        <w:pStyle w:val="Normal"/>
        <w:ind w:left="-5" w:hanging="10"/>
        <w:rPr/>
      </w:pPr>
      <w:r>
        <w:rPr/>
        <w:t xml:space="preserve">2.1. Paziņojums par izsoli tiek publicēts LiepU mājas lapā www.liepu.lv.  </w:t>
      </w:r>
    </w:p>
    <w:p>
      <w:pPr>
        <w:pStyle w:val="Normal"/>
        <w:ind w:left="551" w:hanging="566"/>
        <w:rPr/>
      </w:pPr>
      <w:r>
        <w:rPr/>
        <w:t xml:space="preserve">2.2. Ar izsoles nolikumu, tai skaitā nomas līguma projektu, interesenti var iepazīties LiepU mājas lapā </w:t>
      </w:r>
      <w:hyperlink r:id="rId2">
        <w:r>
          <w:rPr>
            <w:rStyle w:val="Internetasaite"/>
          </w:rPr>
          <w:t>www.liepu.lv</w:t>
        </w:r>
      </w:hyperlink>
      <w:r>
        <w:rPr/>
        <w:t>, kapitālsabiedrība valsts akciju sabiedrības "Valsts nekustamie īpašumi" mājaslapā www.vni.lv</w:t>
      </w:r>
    </w:p>
    <w:p>
      <w:pPr>
        <w:pStyle w:val="Normal"/>
        <w:ind w:left="-5" w:hanging="10"/>
        <w:rPr/>
      </w:pPr>
      <w:r>
        <w:rPr/>
        <w:t>2.3. LiepU ir tiesības publiskot informāciju par izsoles izsludināšanu citos masu saziņas līdzekļos.</w:t>
      </w:r>
    </w:p>
    <w:p>
      <w:pPr>
        <w:pStyle w:val="Normal"/>
        <w:ind w:left="-5" w:hanging="10"/>
        <w:rPr/>
      </w:pPr>
      <w:r>
        <w:rPr/>
        <w:t xml:space="preserve">2.4. Liepājas Universitātes kontaktpersonas – Kaspars Baltputns, Agate Pirktiņa tālr. Nr.+371 27100430, e-pasts: kaspars.baltputns@liepu.lv vai  agate.pirktina@liepu.lv  </w:t>
      </w:r>
    </w:p>
    <w:p>
      <w:pPr>
        <w:pStyle w:val="Normal"/>
        <w:spacing w:lineRule="auto" w:line="259" w:before="0" w:after="20"/>
        <w:ind w:left="0" w:hanging="0"/>
        <w:jc w:val="left"/>
        <w:rPr/>
      </w:pPr>
      <w:r>
        <w:rPr/>
        <w:t xml:space="preserve"> </w:t>
      </w:r>
    </w:p>
    <w:p>
      <w:pPr>
        <w:pStyle w:val="Normal"/>
        <w:numPr>
          <w:ilvl w:val="0"/>
          <w:numId w:val="1"/>
        </w:numPr>
        <w:spacing w:lineRule="auto" w:line="249" w:before="0" w:after="8"/>
        <w:ind w:left="2653" w:hanging="361"/>
        <w:jc w:val="left"/>
        <w:rPr/>
      </w:pPr>
      <w:r>
        <w:rPr>
          <w:b/>
        </w:rPr>
        <w:t xml:space="preserve">Prasības pretendentam un piedāvājuma dokumenti </w:t>
      </w:r>
    </w:p>
    <w:p>
      <w:pPr>
        <w:pStyle w:val="Normal"/>
        <w:spacing w:lineRule="auto" w:line="259" w:before="0" w:after="18"/>
        <w:ind w:left="411" w:hanging="0"/>
        <w:jc w:val="center"/>
        <w:rPr/>
      </w:pPr>
      <w:r>
        <w:rPr>
          <w:b/>
        </w:rPr>
        <w:t xml:space="preserve"> </w:t>
      </w:r>
    </w:p>
    <w:p>
      <w:pPr>
        <w:pStyle w:val="Normal"/>
        <w:numPr>
          <w:ilvl w:val="1"/>
          <w:numId w:val="1"/>
        </w:numPr>
        <w:ind w:left="567" w:hanging="566"/>
        <w:rPr/>
      </w:pPr>
      <w:r>
        <w:rPr/>
        <w:t xml:space="preserve">Pretendenti var būt personas, kuras atbilst izsolē izvirzītājām prasībām un kuras saskaņā ar spēkā esošajiem normatīvajiem aktiem var iegūt nomā īpašumu un, kuras šajā nolikumā noteiktajā termiņā un kārtībā iesniegušas piedāvājumu dalībai izsolē. Persona uzskatāma par Pretendentu ar brīdi, kad ir saņemts Pretendenta piedāvājums un tas ir reģistrēts Nolikumā noteiktajā kārtībā. </w:t>
      </w:r>
    </w:p>
    <w:p>
      <w:pPr>
        <w:pStyle w:val="Normal"/>
        <w:numPr>
          <w:ilvl w:val="1"/>
          <w:numId w:val="1"/>
        </w:numPr>
        <w:ind w:left="709" w:hanging="566"/>
        <w:rPr/>
      </w:pPr>
      <w:r>
        <w:rPr/>
        <w:t xml:space="preserve">Viens Pretendents var iesniegt tikai vienu piedāvājuma variantu. </w:t>
      </w:r>
    </w:p>
    <w:p>
      <w:pPr>
        <w:pStyle w:val="Normal"/>
        <w:numPr>
          <w:ilvl w:val="1"/>
          <w:numId w:val="1"/>
        </w:numPr>
        <w:ind w:left="709" w:hanging="566"/>
        <w:rPr/>
      </w:pPr>
      <w:r>
        <w:rPr/>
        <w:t xml:space="preserve">Iesniedzot piedāvājumu Pretendents apliecina ka ir iepazinies ar izsoles nolikumu un piekrīt izsoles noteikumiem. </w:t>
      </w:r>
    </w:p>
    <w:p>
      <w:pPr>
        <w:pStyle w:val="Normal"/>
        <w:numPr>
          <w:ilvl w:val="1"/>
          <w:numId w:val="1"/>
        </w:numPr>
        <w:ind w:left="709" w:hanging="566"/>
        <w:rPr/>
      </w:pPr>
      <w:r>
        <w:rPr/>
        <w:t xml:space="preserve">Dalībai izsolē Pretendents iesniedz šādus dokumentus: </w:t>
      </w:r>
    </w:p>
    <w:p>
      <w:pPr>
        <w:pStyle w:val="Normal"/>
        <w:numPr>
          <w:ilvl w:val="2"/>
          <w:numId w:val="1"/>
        </w:numPr>
        <w:ind w:left="709" w:hanging="710"/>
        <w:rPr/>
      </w:pPr>
      <w:r>
        <w:rPr/>
        <w:t>Pieteikumu dalībai izsolē (sagatavo saskaņā ar paraugu (</w:t>
      </w:r>
      <w:r>
        <w:rPr>
          <w:b/>
        </w:rPr>
        <w:t>Pielikums Nr.1</w:t>
      </w:r>
      <w:r>
        <w:rPr/>
        <w:t xml:space="preserve">)); </w:t>
      </w:r>
    </w:p>
    <w:p>
      <w:pPr>
        <w:pStyle w:val="Normal"/>
        <w:numPr>
          <w:ilvl w:val="2"/>
          <w:numId w:val="1"/>
        </w:numPr>
        <w:ind w:left="709" w:hanging="710"/>
        <w:rPr/>
      </w:pPr>
      <w:r>
        <w:rPr/>
        <w:t xml:space="preserve">Pilnvaras oriģinālu vai notariāli apliecinātu kopiju, ja pieteikumu un tam pievienotos dokumentus paraksta Pretendenta pilnvarotā persona. Pilnvarā ir jābūt norādītam, ka persona tiek pilnvarota iesniegt piedāvājumu un piedalīties telpu nomas tiesību izsolē. </w:t>
      </w:r>
    </w:p>
    <w:p>
      <w:pPr>
        <w:pStyle w:val="Normal"/>
        <w:numPr>
          <w:ilvl w:val="1"/>
          <w:numId w:val="1"/>
        </w:numPr>
        <w:ind w:left="1418" w:hanging="566"/>
        <w:rPr/>
      </w:pPr>
      <w:r>
        <w:rPr/>
        <w:t xml:space="preserve">Piedāvājuma dokumenti jāsagatavo latviešu valodā. Ārvalstīs izdotiem dokumentiem vai dokumentiem kuri sastādīti svešvalodā jāpievieno normatīvajos aktos noteiktā kārtībā apliecināts dokumenta tulkojums latviešu valodā. </w:t>
      </w:r>
    </w:p>
    <w:p>
      <w:pPr>
        <w:pStyle w:val="Normal"/>
        <w:numPr>
          <w:ilvl w:val="1"/>
          <w:numId w:val="1"/>
        </w:numPr>
        <w:ind w:left="1560" w:hanging="566"/>
        <w:rPr/>
      </w:pPr>
      <w:r>
        <w:rPr/>
        <w:t xml:space="preserve">Piedāvājuma dokumenti jāiesniedz slēgtā iepakojumā (aploksne, bandrole, u.tml.), uz kuras ir izdarītas šādas atzīmes:  </w:t>
      </w:r>
    </w:p>
    <w:p>
      <w:pPr>
        <w:pStyle w:val="Normal"/>
        <w:numPr>
          <w:ilvl w:val="2"/>
          <w:numId w:val="1"/>
        </w:numPr>
        <w:spacing w:lineRule="auto" w:line="249" w:before="0" w:after="43"/>
        <w:ind w:left="1418" w:hanging="710"/>
        <w:rPr/>
      </w:pPr>
      <w:r>
        <w:rPr>
          <w:b/>
        </w:rPr>
        <w:t>SAŅĒMĒJS</w:t>
      </w:r>
      <w:r>
        <w:rPr/>
        <w:t xml:space="preserve">: </w:t>
      </w:r>
    </w:p>
    <w:p>
      <w:pPr>
        <w:pStyle w:val="Normal"/>
        <w:numPr>
          <w:ilvl w:val="0"/>
          <w:numId w:val="2"/>
        </w:numPr>
        <w:spacing w:lineRule="auto" w:line="256" w:before="0" w:after="0"/>
        <w:ind w:left="1843" w:hanging="425"/>
        <w:jc w:val="left"/>
        <w:rPr/>
      </w:pPr>
      <w:r>
        <w:rPr/>
        <w:t xml:space="preserve">Liepājas Universitāte, reģistrācijas numurs LV90000036859, Lielā iela 14, Liepāja, LV-3401. </w:t>
      </w:r>
    </w:p>
    <w:p>
      <w:pPr>
        <w:pStyle w:val="Normal"/>
        <w:spacing w:lineRule="auto" w:line="249" w:before="0" w:after="43"/>
        <w:ind w:left="703" w:hanging="10"/>
        <w:jc w:val="left"/>
        <w:rPr/>
      </w:pPr>
      <w:r>
        <w:rPr/>
        <w:t xml:space="preserve">3.6.2. </w:t>
      </w:r>
      <w:r>
        <w:rPr>
          <w:b/>
        </w:rPr>
        <w:t>PRETENDENTS</w:t>
      </w:r>
      <w:r>
        <w:rPr/>
        <w:t xml:space="preserve">: </w:t>
      </w:r>
    </w:p>
    <w:p>
      <w:pPr>
        <w:pStyle w:val="Normal"/>
        <w:numPr>
          <w:ilvl w:val="0"/>
          <w:numId w:val="2"/>
        </w:numPr>
        <w:ind w:left="1843" w:hanging="425"/>
        <w:jc w:val="left"/>
        <w:rPr/>
      </w:pPr>
      <w:r>
        <w:rPr/>
        <w:t xml:space="preserve">ja pretendents ir fiziskā persona - vārds, uzvārds, personas kods un adrese, kurā konkrētā persona ir sasniedzama; </w:t>
      </w:r>
    </w:p>
    <w:p>
      <w:pPr>
        <w:pStyle w:val="Normal"/>
        <w:numPr>
          <w:ilvl w:val="0"/>
          <w:numId w:val="2"/>
        </w:numPr>
        <w:ind w:left="1843" w:hanging="425"/>
        <w:jc w:val="left"/>
        <w:rPr/>
      </w:pPr>
      <w:r>
        <w:rPr/>
        <w:t xml:space="preserve">ja Pretendents ir juridiska persona – pilns nosaukums, reģistrācijas numurs, adrese, kurā konkrētā persona ir sasniedzama; </w:t>
      </w:r>
    </w:p>
    <w:p>
      <w:pPr>
        <w:pStyle w:val="Normal"/>
        <w:ind w:left="718" w:hanging="10"/>
        <w:rPr/>
      </w:pPr>
      <w:r>
        <w:rPr/>
        <w:t xml:space="preserve">3.6.3. </w:t>
      </w:r>
      <w:r>
        <w:rPr>
          <w:b/>
        </w:rPr>
        <w:t>NORĀDE</w:t>
      </w:r>
      <w:r>
        <w:rPr/>
        <w:t xml:space="preserve">:  </w:t>
      </w:r>
    </w:p>
    <w:p>
      <w:pPr>
        <w:pStyle w:val="Normal"/>
        <w:numPr>
          <w:ilvl w:val="0"/>
          <w:numId w:val="2"/>
        </w:numPr>
        <w:spacing w:lineRule="auto" w:line="249" w:before="0" w:after="0"/>
        <w:ind w:left="1843" w:hanging="425"/>
        <w:jc w:val="left"/>
        <w:rPr/>
      </w:pPr>
      <w:r>
        <w:rPr/>
        <w:t>„</w:t>
      </w:r>
      <w:r>
        <w:rPr>
          <w:b/>
        </w:rPr>
        <w:t>PIEDĀVĀJUMS NEKUSTAMĀ ĪPAŠUMA LIEPĀJĀ, KURŠU IELĀ 20, 700 M</w:t>
      </w:r>
      <w:r>
        <w:rPr>
          <w:b/>
          <w:vertAlign w:val="superscript"/>
        </w:rPr>
        <w:t>2</w:t>
      </w:r>
      <w:r>
        <w:rPr>
          <w:b/>
        </w:rPr>
        <w:t xml:space="preserve"> PLATĪBĀ, NOMAS TIESĪBU RAKSTVEIDA IZSOLEI. NEATVĒRT LĪDZ </w:t>
      </w:r>
    </w:p>
    <w:p>
      <w:pPr>
        <w:pStyle w:val="Normal"/>
        <w:spacing w:lineRule="auto" w:line="249" w:before="0" w:after="43"/>
        <w:ind w:left="1853" w:hanging="10"/>
        <w:jc w:val="left"/>
        <w:rPr/>
      </w:pPr>
      <w:r>
        <w:rPr>
          <w:b/>
        </w:rPr>
        <w:t>2018. GADA 24. MAIJAM, PLKST. 9.00</w:t>
      </w:r>
      <w:r>
        <w:rPr/>
        <w:t xml:space="preserve">. </w:t>
      </w:r>
    </w:p>
    <w:p>
      <w:pPr>
        <w:pStyle w:val="Normal"/>
        <w:spacing w:lineRule="auto" w:line="259" w:before="0" w:after="20"/>
        <w:ind w:left="360" w:hanging="0"/>
        <w:jc w:val="left"/>
        <w:rPr/>
      </w:pPr>
      <w:r>
        <w:rPr/>
      </w:r>
    </w:p>
    <w:p>
      <w:pPr>
        <w:pStyle w:val="Virsraksts1"/>
        <w:rPr/>
      </w:pPr>
      <w:r>
        <w:rPr/>
        <w:t xml:space="preserve">4. Piedāvājuma iesniegšana izsolei </w:t>
      </w:r>
    </w:p>
    <w:p>
      <w:pPr>
        <w:pStyle w:val="Normal"/>
        <w:spacing w:lineRule="auto" w:line="259" w:before="0" w:after="18"/>
        <w:ind w:left="771" w:hanging="0"/>
        <w:jc w:val="center"/>
        <w:rPr/>
      </w:pPr>
      <w:r>
        <w:rPr>
          <w:b/>
        </w:rPr>
        <w:t xml:space="preserve"> </w:t>
      </w:r>
    </w:p>
    <w:p>
      <w:pPr>
        <w:pStyle w:val="Normal"/>
        <w:ind w:left="551" w:hanging="566"/>
        <w:rPr/>
      </w:pPr>
      <w:r>
        <w:rPr/>
        <w:t xml:space="preserve">4.1. Piedāvājumi dalībai izsolē jāiesniedz personiski, pa pastu, vai ar kurjera starpniecību, Liepājā, Lielā ielā 14, LV-3401, 202.Kabinetā, 2.stāvā, ievērojot LiepU darba laiku, līdz 2018. gada 24. maijam plkst. 9.00, kur tos reģistrē iesniegšanas secībā, norādot piedāvājuma reģistrācijas numuru, saņemšanas datumu un laiku. </w:t>
      </w:r>
    </w:p>
    <w:p>
      <w:pPr>
        <w:pStyle w:val="Normal"/>
        <w:ind w:left="551" w:hanging="566"/>
        <w:rPr/>
      </w:pPr>
      <w:r>
        <w:rPr/>
        <w:t xml:space="preserve">4.2. Visi pēc 4.1. punktā noteiktā termiņa saņemtie piedāvājumi netiks pieņemti un neatvērti tiks nodoti atpakaļ iesniedzējam. </w:t>
      </w:r>
    </w:p>
    <w:p>
      <w:pPr>
        <w:pStyle w:val="Normal"/>
        <w:ind w:left="551" w:hanging="566"/>
        <w:rPr/>
      </w:pPr>
      <w:r>
        <w:rPr/>
        <w:t xml:space="preserve">4.3. Visu atbildību par iespējamu sūtījumu aizkavēšanos, vai citiem apstākļiem, kuri nav atkarīgi no LiepU, un kas var traucēt savlaicīgu piedāvājuma iesniegšanu, uzņemas Pretendents. </w:t>
      </w:r>
    </w:p>
    <w:p>
      <w:pPr>
        <w:pStyle w:val="Normal"/>
        <w:ind w:left="551" w:hanging="566"/>
        <w:rPr/>
      </w:pPr>
      <w:r>
        <w:rPr/>
        <w:t>4.4. Piedāvājumu atvēršana notiks 2018. gada 25. maijā Liepājā, Lielā ielā 14, telpā Nr. 203., plkst. 10.00.</w:t>
      </w:r>
    </w:p>
    <w:p>
      <w:pPr>
        <w:pStyle w:val="Normal"/>
        <w:ind w:left="-5" w:hanging="10"/>
        <w:rPr/>
      </w:pPr>
      <w:r>
        <w:rPr/>
        <w:t xml:space="preserve">4.5. Piedāvājumu atvēršanas sanāksme ir atklāta.  </w:t>
      </w:r>
    </w:p>
    <w:p>
      <w:pPr>
        <w:pStyle w:val="Normal"/>
        <w:spacing w:lineRule="auto" w:line="259" w:before="0" w:after="17"/>
        <w:ind w:left="360" w:hanging="0"/>
        <w:jc w:val="left"/>
        <w:rPr/>
      </w:pPr>
      <w:r>
        <w:rPr/>
        <w:t xml:space="preserve"> </w:t>
      </w:r>
    </w:p>
    <w:p>
      <w:pPr>
        <w:pStyle w:val="Virsraksts1"/>
        <w:ind w:left="10" w:right="5" w:hanging="10"/>
        <w:rPr/>
      </w:pPr>
      <w:r>
        <w:rPr/>
        <w:t xml:space="preserve">5. Izsoles sākumcena un nomas līguma termiņš </w:t>
      </w:r>
    </w:p>
    <w:p>
      <w:pPr>
        <w:pStyle w:val="Normal"/>
        <w:spacing w:lineRule="auto" w:line="259" w:before="0" w:after="20"/>
        <w:ind w:left="411" w:hanging="0"/>
        <w:jc w:val="center"/>
        <w:rPr>
          <w:color w:val="FF0000"/>
        </w:rPr>
      </w:pPr>
      <w:r>
        <w:rPr>
          <w:b/>
          <w:color w:val="FF0000"/>
        </w:rPr>
        <w:t xml:space="preserve"> </w:t>
      </w:r>
    </w:p>
    <w:p>
      <w:pPr>
        <w:pStyle w:val="Normal"/>
        <w:ind w:left="551" w:hanging="566"/>
        <w:rPr/>
      </w:pPr>
      <w:r>
        <w:rPr>
          <w:color w:val="000000"/>
        </w:rPr>
        <w:t xml:space="preserve">5.1. Nosacītā Telpu nomas maksa par vienu kvadrātmetru nevar būt mazāka par 1.13 EUR (viens </w:t>
      </w:r>
      <w:r>
        <w:rPr>
          <w:i/>
          <w:color w:val="000000"/>
        </w:rPr>
        <w:t>euro</w:t>
      </w:r>
      <w:r>
        <w:rPr>
          <w:color w:val="000000"/>
        </w:rPr>
        <w:t xml:space="preserve"> trīspadsmit centi) mēnesī,</w:t>
      </w:r>
      <w:r>
        <w:rPr>
          <w:color w:val="FF0000"/>
        </w:rPr>
        <w:t xml:space="preserve"> </w:t>
      </w:r>
      <w:r>
        <w:rPr/>
        <w:t xml:space="preserve">neskaitot pievienotās vērtības nodokli. </w:t>
      </w:r>
    </w:p>
    <w:p>
      <w:pPr>
        <w:pStyle w:val="Normal"/>
        <w:ind w:left="-5" w:hanging="10"/>
        <w:rPr/>
      </w:pPr>
      <w:r>
        <w:rPr/>
        <w:t xml:space="preserve">5.2. Nomas līgums tiek slēgts uz 18 mēnešiem. </w:t>
      </w:r>
    </w:p>
    <w:p>
      <w:pPr>
        <w:pStyle w:val="Normal"/>
        <w:ind w:left="-5" w:hanging="10"/>
        <w:rPr/>
      </w:pPr>
      <w:r>
        <w:rPr/>
        <w:t xml:space="preserve">5.3. Nomas objekts nevar tikt nodots apakšnomā. </w:t>
      </w:r>
    </w:p>
    <w:p>
      <w:pPr>
        <w:pStyle w:val="Normal"/>
        <w:spacing w:lineRule="auto" w:line="259" w:before="0" w:after="19"/>
        <w:ind w:left="360" w:hanging="0"/>
        <w:jc w:val="left"/>
        <w:rPr/>
      </w:pPr>
      <w:r>
        <w:rPr/>
        <w:t xml:space="preserve"> </w:t>
      </w:r>
    </w:p>
    <w:p>
      <w:pPr>
        <w:pStyle w:val="Virsraksts1"/>
        <w:rPr/>
      </w:pPr>
      <w:r>
        <w:rPr/>
        <w:t xml:space="preserve">6. Izsoles norise </w:t>
      </w:r>
    </w:p>
    <w:p>
      <w:pPr>
        <w:pStyle w:val="Normal"/>
        <w:spacing w:lineRule="auto" w:line="259" w:before="0" w:after="20"/>
        <w:ind w:left="411" w:hanging="0"/>
        <w:jc w:val="center"/>
        <w:rPr/>
      </w:pPr>
      <w:r>
        <w:rPr>
          <w:b/>
        </w:rPr>
        <w:t xml:space="preserve"> </w:t>
      </w:r>
    </w:p>
    <w:p>
      <w:pPr>
        <w:pStyle w:val="Normal"/>
        <w:ind w:left="-5" w:hanging="10"/>
        <w:rPr/>
      </w:pPr>
      <w:r>
        <w:rPr/>
        <w:t xml:space="preserve">6.1. Izsole nenotiek, ja izsolei nav reģistrējies neviens no Pretendentiem. </w:t>
      </w:r>
    </w:p>
    <w:p>
      <w:pPr>
        <w:pStyle w:val="Normal"/>
        <w:ind w:left="551" w:hanging="566"/>
        <w:rPr/>
      </w:pPr>
      <w:r>
        <w:rPr/>
        <w:t xml:space="preserve">6.2. Ja nolikumā noteiktajā termiņā nav </w:t>
      </w:r>
      <w:bookmarkStart w:id="0" w:name="_GoBack"/>
      <w:bookmarkEnd w:id="0"/>
      <w:r>
        <w:rPr/>
        <w:t xml:space="preserve">iesniegts neviens piedāvājums, LiepU var pagarināt piedāvājumu iesniegšanas termiņu, pārējos izsoles nosacījumus atstājot negrozītus. </w:t>
      </w:r>
    </w:p>
    <w:p>
      <w:pPr>
        <w:pStyle w:val="Normal"/>
        <w:ind w:left="551" w:hanging="566"/>
        <w:rPr/>
      </w:pPr>
      <w:r>
        <w:rPr/>
        <w:t xml:space="preserve">6.3. Dalībai izsolē tiek pielaisti tikai tie Pretendenti, kuru pieteikumus un pievienotos dokumentus LiepU atzīst par atbilstošiem šīs izsoles nolikuma prasībām un kuri atbilst nolikumā izvirzītajām pretendentu prasībām. Pretendenti, kuri netika pielaisti dalībai izsolē, tiek par to informēti rakstveidā. </w:t>
      </w:r>
    </w:p>
    <w:p>
      <w:pPr>
        <w:pStyle w:val="Normal"/>
        <w:ind w:left="551" w:hanging="566"/>
        <w:rPr/>
      </w:pPr>
      <w:r>
        <w:rPr/>
        <w:t>6.4. Ja pieteikumu iesniedz cita atvasināta publiska persona, tās iestāde, valsts iestāde, kapitālsabiedrība vai privātpersona, kurai nekustamais īpašums nepieciešams publiskas funkcijas vai deleģēta valsts pārvaldes uzdevuma veikšanai, nomas objektu ir tiesības iznomāt minētajai atvasinātai publiskai personai, tās iestādei, valsts iestādei, kapitālsabiedrībai vai privātpersonai, izsoli nerīkojot. Par minēto rakstiski vai elektroniski informē pārējos nomas tiesību pretendentus.</w:t>
      </w:r>
    </w:p>
    <w:p>
      <w:pPr>
        <w:pStyle w:val="Normal"/>
        <w:ind w:left="551" w:hanging="566"/>
        <w:rPr/>
      </w:pPr>
      <w:r>
        <w:rPr/>
        <w:t xml:space="preserve">6.5. Piedāvājumi tiek atvērti to iesniegšanas secībā. Pēc piedāvājuma atvēršanas tiek nosaukts Pretendents, piedāvājuma iesniegšanas datums un laiks, kā arī Pretendenta piedāvātais nomas maksas apmērs. </w:t>
      </w:r>
    </w:p>
    <w:p>
      <w:pPr>
        <w:pStyle w:val="Normal"/>
        <w:ind w:left="-5" w:hanging="10"/>
        <w:rPr/>
      </w:pPr>
      <w:r>
        <w:rPr/>
        <w:t xml:space="preserve">6.6. Iesniegtie piedāvājumi tiks izvērtēti un rezultāti apstiprināti 2 darba dienu laikā. </w:t>
      </w:r>
    </w:p>
    <w:p>
      <w:pPr>
        <w:pStyle w:val="Normal"/>
        <w:ind w:left="-5" w:hanging="10"/>
        <w:rPr/>
      </w:pPr>
      <w:r>
        <w:rPr/>
        <w:t xml:space="preserve">6.7. Piedāvājumu vērtēšana notiek 2 kārtās: </w:t>
      </w:r>
    </w:p>
    <w:p>
      <w:pPr>
        <w:pStyle w:val="Normal"/>
        <w:ind w:left="1418" w:hanging="698"/>
        <w:rPr/>
      </w:pPr>
      <w:r>
        <w:rPr/>
        <w:t xml:space="preserve">6.7.1. piedāvājuma noformējuma un sastāva atbilstība izsoles noteikumu prasībām; </w:t>
      </w:r>
    </w:p>
    <w:p>
      <w:pPr>
        <w:pStyle w:val="Normal"/>
        <w:ind w:left="1418" w:hanging="710"/>
        <w:rPr/>
      </w:pPr>
      <w:r>
        <w:rPr/>
        <w:t xml:space="preserve">6.7.2. pretendentiem, kas atbilst visām pirmās kārtas prasībām, tiek vērtēts finanšu piedāvājumus. </w:t>
      </w:r>
    </w:p>
    <w:p>
      <w:pPr>
        <w:pStyle w:val="Normal"/>
        <w:ind w:left="551" w:hanging="566"/>
        <w:rPr/>
      </w:pPr>
      <w:r>
        <w:rPr/>
        <w:t xml:space="preserve">6.8. Informācija par izsoles rezultātiem un nomas tiesību piešķiršanu 2 (divu) darbdienu laikā pēc izsoles rezultātu apstiprināšanas, tiks izsūtīta katram Pretendentam rakstveidā, kā arī informācija tiks publicēta Liepājas Universitātes portālā www.liepu.lv.  </w:t>
      </w:r>
    </w:p>
    <w:p>
      <w:pPr>
        <w:pStyle w:val="Normal"/>
        <w:ind w:left="551" w:hanging="566"/>
        <w:rPr/>
      </w:pPr>
      <w:r>
        <w:rPr/>
        <w:t xml:space="preserve">6.9. Par izsoles uzvarētāju atzītais Pretendents 10 (desmit) darba dienu laikā pēc rakstiskās izsoles rezultātu paziņošanas paraksta nomas līgumu vai rakstiski paziņo par atteikumu slēgt nomas līgumu. Ja iepriekš minētajā termiņā Pretendents līgumu neparaksta vai neiesniedz atteikumu parakstīt līgumu, uzskatāms, ka Pretendents no nomas līguma slēgšanas ir atteicies. </w:t>
      </w:r>
    </w:p>
    <w:p>
      <w:pPr>
        <w:pStyle w:val="Normal"/>
        <w:ind w:left="551" w:hanging="566"/>
        <w:rPr/>
      </w:pPr>
      <w:r>
        <w:rPr/>
        <w:t xml:space="preserve">6.10. Ja Pretendents, kurš piedāvājis augstāko nomas maksu un visām prasībām atbilstošāko piedāvājumu ir atteicies slēgt nomas līgumu, LiepU secīgi piedāvā nomas līgumu slēgt Pretendentam, kurš iesniedzis nākamo, visām prasībām atbilstošāko piedāvājumu, un divu darba dienu laikā pēc minētā piedāvājuma nosūtīšanas nodrošina minētās informācijas publicēšanu LiepU mājaslapā www.liepu.lv. </w:t>
      </w:r>
    </w:p>
    <w:p>
      <w:pPr>
        <w:pStyle w:val="Normal"/>
        <w:ind w:left="551" w:hanging="566"/>
        <w:rPr/>
      </w:pPr>
      <w:r>
        <w:rPr/>
        <w:t xml:space="preserve">6.11. Informācija par nomas līguma noslēgšanu ne vēlāk kā piecu darba dienu laikā pēc tā noslēgšanas tiek publicēta LiepU mājaslapā www.liepu.lv. </w:t>
      </w:r>
    </w:p>
    <w:p>
      <w:pPr>
        <w:pStyle w:val="Normal"/>
        <w:spacing w:before="0" w:after="0"/>
        <w:ind w:left="551" w:hanging="566"/>
        <w:rPr/>
      </w:pPr>
      <w:r>
        <w:rPr/>
        <w:t xml:space="preserve">6.12. Iznomātājam ir tiesības jebkurā brīdī pārtraukt izsoli, noraidīt piedāvājumus, ja tie neatbilst izsoles nolikumam, kā arī pieprasīt Pretendentam uzrādīt iesniegtā dokumenta kopijas oriģinālu. </w:t>
      </w:r>
    </w:p>
    <w:p>
      <w:pPr>
        <w:pStyle w:val="Normal"/>
        <w:spacing w:lineRule="auto" w:line="259" w:before="0" w:after="19"/>
        <w:ind w:left="566" w:hanging="0"/>
        <w:jc w:val="left"/>
        <w:rPr/>
      </w:pPr>
      <w:r>
        <w:rPr/>
        <w:t xml:space="preserve"> </w:t>
      </w:r>
    </w:p>
    <w:p>
      <w:pPr>
        <w:pStyle w:val="Virsraksts1"/>
        <w:ind w:left="10" w:right="3" w:hanging="10"/>
        <w:rPr/>
      </w:pPr>
      <w:r>
        <w:rPr/>
        <w:t xml:space="preserve">7. Līguma slēgšana </w:t>
      </w:r>
    </w:p>
    <w:p>
      <w:pPr>
        <w:pStyle w:val="Normal"/>
        <w:spacing w:lineRule="auto" w:line="259" w:before="0" w:after="18"/>
        <w:ind w:left="771" w:hanging="0"/>
        <w:jc w:val="center"/>
        <w:rPr/>
      </w:pPr>
      <w:r>
        <w:rPr>
          <w:b/>
        </w:rPr>
        <w:t xml:space="preserve"> </w:t>
      </w:r>
    </w:p>
    <w:p>
      <w:pPr>
        <w:pStyle w:val="Normal"/>
        <w:spacing w:before="0" w:after="0"/>
        <w:ind w:left="551" w:hanging="566"/>
        <w:rPr/>
      </w:pPr>
      <w:r>
        <w:rPr/>
        <w:t xml:space="preserve">7.1. Starp izsoles uzvarētāju un LiepU tiks slēgts līgums atbilstoši izsoles specifikācijai un Pretendenta piedāvājumam un saskaņā ar izsoles nolikumam pievienoto līguma projektu. Līguma projektā pieļaujamas tādas izmaiņas un precizējumi, kas būtiski neietekmē izsoles rezultātu.  </w:t>
      </w:r>
    </w:p>
    <w:p>
      <w:pPr>
        <w:pStyle w:val="Normal"/>
        <w:spacing w:lineRule="auto" w:line="259" w:before="0" w:after="0"/>
        <w:ind w:left="411" w:hanging="0"/>
        <w:jc w:val="center"/>
        <w:rPr/>
      </w:pPr>
      <w:r>
        <w:rPr>
          <w:b/>
        </w:rPr>
        <w:t xml:space="preserve"> </w:t>
      </w:r>
    </w:p>
    <w:p>
      <w:pPr>
        <w:pStyle w:val="Virsraksts1"/>
        <w:ind w:left="10" w:right="2" w:hanging="10"/>
        <w:rPr/>
      </w:pPr>
      <w:r>
        <w:rPr/>
        <w:t xml:space="preserve">8. Pielikumu saraksts </w:t>
      </w:r>
    </w:p>
    <w:p>
      <w:pPr>
        <w:pStyle w:val="Normal"/>
        <w:spacing w:lineRule="auto" w:line="259" w:before="0" w:after="20"/>
        <w:ind w:left="411" w:hanging="0"/>
        <w:jc w:val="center"/>
        <w:rPr/>
      </w:pPr>
      <w:r>
        <w:rPr>
          <w:b/>
        </w:rPr>
        <w:t xml:space="preserve"> </w:t>
      </w:r>
    </w:p>
    <w:p>
      <w:pPr>
        <w:pStyle w:val="Normal"/>
        <w:ind w:left="-5" w:hanging="10"/>
        <w:rPr/>
      </w:pPr>
      <w:r>
        <w:rPr/>
        <w:t>8.1. Pieteikuma veidlapa dalībai izsolē - Pielikums Nr.1</w:t>
      </w:r>
    </w:p>
    <w:p>
      <w:pPr>
        <w:pStyle w:val="Normal"/>
        <w:ind w:left="-5" w:hanging="10"/>
        <w:rPr/>
      </w:pPr>
      <w:r>
        <w:rPr/>
        <w:t xml:space="preserve">8.2. Telpu izvietojums un ēkas stāvu plāni - Pielikums Nr.2 </w:t>
      </w:r>
    </w:p>
    <w:p>
      <w:pPr>
        <w:pStyle w:val="Normal"/>
        <w:ind w:left="-5" w:hanging="10"/>
        <w:rPr/>
      </w:pPr>
      <w:r>
        <w:rPr/>
        <w:t xml:space="preserve">8.3. Nomas līguma projekts - Pielikums Nr.3 </w:t>
      </w:r>
    </w:p>
    <w:p>
      <w:pPr>
        <w:pStyle w:val="Normal"/>
        <w:spacing w:lineRule="auto" w:line="259" w:before="0" w:after="0"/>
        <w:ind w:left="0" w:hanging="0"/>
        <w:jc w:val="left"/>
        <w:rPr/>
      </w:pPr>
      <w:r>
        <w:rPr/>
        <w:t xml:space="preserve"> </w:t>
      </w:r>
    </w:p>
    <w:p>
      <w:pPr>
        <w:pStyle w:val="Normal"/>
        <w:spacing w:lineRule="auto" w:line="259" w:before="0" w:after="0"/>
        <w:ind w:left="0" w:hanging="0"/>
        <w:jc w:val="left"/>
        <w:rPr/>
      </w:pPr>
      <w:r>
        <w:rPr/>
        <w:t xml:space="preserve"> </w:t>
      </w:r>
    </w:p>
    <w:p>
      <w:pPr>
        <w:pStyle w:val="Normal"/>
        <w:ind w:left="-5" w:hanging="10"/>
        <w:rPr/>
      </w:pPr>
      <w:r>
        <w:rPr/>
        <w:t>Liepājā, 2018.gada 17.maijā</w:t>
      </w:r>
    </w:p>
    <w:p>
      <w:pPr>
        <w:pStyle w:val="Normal"/>
        <w:tabs>
          <w:tab w:val="center" w:pos="2160" w:leader="none"/>
          <w:tab w:val="center" w:pos="2881" w:leader="none"/>
          <w:tab w:val="center" w:pos="3601" w:leader="none"/>
          <w:tab w:val="center" w:pos="4321" w:leader="none"/>
          <w:tab w:val="center" w:pos="5041" w:leader="none"/>
          <w:tab w:val="center" w:pos="5761" w:leader="none"/>
          <w:tab w:val="center" w:pos="7100" w:leader="none"/>
        </w:tabs>
        <w:ind w:left="-15" w:hanging="0"/>
        <w:jc w:val="left"/>
        <w:rPr/>
      </w:pPr>
      <w:r>
        <w:rPr/>
        <w:t xml:space="preserve"> </w:t>
      </w:r>
    </w:p>
    <w:p>
      <w:pPr>
        <w:pStyle w:val="Normal"/>
        <w:spacing w:before="0" w:after="30"/>
        <w:rPr/>
      </w:pPr>
      <w:r>
        <w:rPr/>
      </w:r>
    </w:p>
    <w:sectPr>
      <w:footerReference w:type="default" r:id="rId3"/>
      <w:type w:val="nextPage"/>
      <w:pgSz w:w="11906" w:h="16838"/>
      <w:pgMar w:left="1134" w:right="1134" w:header="0" w:top="1134" w:footer="714"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swiss"/>
    <w:pitch w:val="variable"/>
  </w:font>
  <w:font w:name="Times New Roman">
    <w:charset w:val="01"/>
    <w:family w:val="roman"/>
    <w:pitch w:val="variable"/>
  </w:font>
  <w:font w:name="Segoe UI Symbo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4" w:hanging="0"/>
      <w:jc w:val="center"/>
      <w:rPr/>
    </w:pPr>
    <w:r>
      <w:rPr>
        <w:rFonts w:eastAsia="Times New Roman" w:cs="Times New Roman" w:ascii="Times New Roman" w:hAnsi="Times New Roman"/>
      </w:rPr>
      <w:fldChar w:fldCharType="begin"/>
    </w:r>
    <w:r>
      <w:instrText> PAGE </w:instrText>
    </w:r>
    <w:r>
      <w:fldChar w:fldCharType="separate"/>
    </w:r>
    <w:r>
      <w:t>4</w:t>
    </w:r>
    <w:r>
      <w:fldChar w:fldCharType="end"/>
    </w:r>
    <w:r>
      <w:rPr>
        <w:rFonts w:eastAsia="Times New Roman" w:cs="Times New Roman" w:ascii="Times New Roman" w:hAnsi="Times New Roman"/>
      </w:rPr>
      <w:t xml:space="preserve"> </w:t>
    </w:r>
  </w:p>
  <w:p>
    <w:pPr>
      <w:pStyle w:val="Normal"/>
      <w:spacing w:lineRule="auto" w:line="259" w:before="0" w:after="0"/>
      <w:ind w:left="0" w:hanging="0"/>
      <w:jc w:val="left"/>
      <w:rPr/>
    </w:pPr>
    <w:r>
      <w:rPr>
        <w:rFonts w:eastAsia="Times New Roman" w:cs="Times New Roman" w:ascii="Times New Roman" w:hAnsi="Times New Roman"/>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2653" w:hanging="360"/>
      </w:pPr>
      <w:rPr>
        <w:dstrike w:val="false"/>
        <w:strike w:val="false"/>
        <w:vertAlign w:val="baseline"/>
        <w:position w:val="0"/>
        <w:sz w:val="24"/>
        <w:sz w:val="24"/>
        <w:i w:val="false"/>
        <w:u w:val="none" w:color="000000"/>
        <w:b/>
        <w:highlight w:val="white"/>
        <w:szCs w:val="24"/>
        <w:bCs/>
        <w:rFonts w:eastAsia="Arial" w:cs="Arial"/>
        <w:color w:val="000000"/>
      </w:rPr>
    </w:lvl>
    <w:lvl w:ilvl="1">
      <w:start w:val="1"/>
      <w:numFmt w:val="decimal"/>
      <w:lvlText w:val="%1.%2."/>
      <w:lvlJc w:val="left"/>
      <w:pPr>
        <w:ind w:left="3578" w:hanging="360"/>
      </w:pPr>
      <w:rPr>
        <w:dstrike w:val="false"/>
        <w:strike w:val="false"/>
        <w:vertAlign w:val="baseline"/>
        <w:position w:val="0"/>
        <w:sz w:val="24"/>
        <w:sz w:val="24"/>
        <w:i w:val="false"/>
        <w:u w:val="none" w:color="000000"/>
        <w:b w:val="false"/>
        <w:highlight w:val="white"/>
        <w:szCs w:val="24"/>
        <w:rFonts w:eastAsia="Arial" w:cs="Arial"/>
        <w:color w:val="000000"/>
      </w:rPr>
    </w:lvl>
    <w:lvl w:ilvl="2">
      <w:start w:val="1"/>
      <w:numFmt w:val="decimal"/>
      <w:lvlText w:val="%1.%2.%3."/>
      <w:lvlJc w:val="left"/>
      <w:pPr>
        <w:ind w:left="4442" w:hanging="360"/>
      </w:pPr>
      <w:rPr>
        <w:dstrike w:val="false"/>
        <w:strike w:val="false"/>
        <w:vertAlign w:val="baseline"/>
        <w:position w:val="0"/>
        <w:sz w:val="24"/>
        <w:sz w:val="24"/>
        <w:i w:val="false"/>
        <w:u w:val="none" w:color="000000"/>
        <w:b w:val="false"/>
        <w:highlight w:val="white"/>
        <w:szCs w:val="24"/>
        <w:rFonts w:eastAsia="Arial" w:cs="Arial"/>
        <w:color w:val="000000"/>
      </w:rPr>
    </w:lvl>
    <w:lvl w:ilvl="3">
      <w:start w:val="1"/>
      <w:numFmt w:val="decimal"/>
      <w:lvlText w:val="%4"/>
      <w:lvlJc w:val="left"/>
      <w:pPr>
        <w:ind w:left="1796" w:hanging="360"/>
      </w:pPr>
      <w:rPr>
        <w:dstrike w:val="false"/>
        <w:strike w:val="false"/>
        <w:vertAlign w:val="baseline"/>
        <w:position w:val="0"/>
        <w:sz w:val="24"/>
        <w:sz w:val="24"/>
        <w:i w:val="false"/>
        <w:u w:val="none" w:color="000000"/>
        <w:b w:val="false"/>
        <w:highlight w:val="white"/>
        <w:szCs w:val="24"/>
        <w:rFonts w:eastAsia="Arial" w:cs="Arial"/>
        <w:color w:val="000000"/>
      </w:rPr>
    </w:lvl>
    <w:lvl w:ilvl="4">
      <w:start w:val="1"/>
      <w:numFmt w:val="lowerLetter"/>
      <w:lvlText w:val="%5"/>
      <w:lvlJc w:val="left"/>
      <w:pPr>
        <w:ind w:left="2516" w:hanging="360"/>
      </w:pPr>
      <w:rPr>
        <w:dstrike w:val="false"/>
        <w:strike w:val="false"/>
        <w:vertAlign w:val="baseline"/>
        <w:position w:val="0"/>
        <w:sz w:val="24"/>
        <w:sz w:val="24"/>
        <w:i w:val="false"/>
        <w:u w:val="none" w:color="000000"/>
        <w:b w:val="false"/>
        <w:highlight w:val="white"/>
        <w:szCs w:val="24"/>
        <w:rFonts w:eastAsia="Arial" w:cs="Arial"/>
        <w:color w:val="000000"/>
      </w:rPr>
    </w:lvl>
    <w:lvl w:ilvl="5">
      <w:start w:val="1"/>
      <w:numFmt w:val="lowerRoman"/>
      <w:lvlText w:val="%6"/>
      <w:lvlJc w:val="left"/>
      <w:pPr>
        <w:ind w:left="3236" w:hanging="360"/>
      </w:pPr>
      <w:rPr>
        <w:dstrike w:val="false"/>
        <w:strike w:val="false"/>
        <w:vertAlign w:val="baseline"/>
        <w:position w:val="0"/>
        <w:sz w:val="24"/>
        <w:sz w:val="24"/>
        <w:i w:val="false"/>
        <w:u w:val="none" w:color="000000"/>
        <w:b w:val="false"/>
        <w:highlight w:val="white"/>
        <w:szCs w:val="24"/>
        <w:rFonts w:eastAsia="Arial" w:cs="Arial"/>
        <w:color w:val="000000"/>
      </w:rPr>
    </w:lvl>
    <w:lvl w:ilvl="6">
      <w:start w:val="1"/>
      <w:numFmt w:val="decimal"/>
      <w:lvlText w:val="%7"/>
      <w:lvlJc w:val="left"/>
      <w:pPr>
        <w:ind w:left="3956" w:hanging="360"/>
      </w:pPr>
      <w:rPr>
        <w:dstrike w:val="false"/>
        <w:strike w:val="false"/>
        <w:vertAlign w:val="baseline"/>
        <w:position w:val="0"/>
        <w:sz w:val="24"/>
        <w:sz w:val="24"/>
        <w:i w:val="false"/>
        <w:u w:val="none" w:color="000000"/>
        <w:b w:val="false"/>
        <w:highlight w:val="white"/>
        <w:szCs w:val="24"/>
        <w:rFonts w:eastAsia="Arial" w:cs="Arial"/>
        <w:color w:val="000000"/>
      </w:rPr>
    </w:lvl>
    <w:lvl w:ilvl="7">
      <w:start w:val="1"/>
      <w:numFmt w:val="lowerLetter"/>
      <w:lvlText w:val="%8"/>
      <w:lvlJc w:val="left"/>
      <w:pPr>
        <w:ind w:left="4676" w:hanging="360"/>
      </w:pPr>
      <w:rPr>
        <w:dstrike w:val="false"/>
        <w:strike w:val="false"/>
        <w:vertAlign w:val="baseline"/>
        <w:position w:val="0"/>
        <w:sz w:val="24"/>
        <w:sz w:val="24"/>
        <w:i w:val="false"/>
        <w:u w:val="none" w:color="000000"/>
        <w:b w:val="false"/>
        <w:highlight w:val="white"/>
        <w:szCs w:val="24"/>
        <w:rFonts w:eastAsia="Arial" w:cs="Arial"/>
        <w:color w:val="000000"/>
      </w:rPr>
    </w:lvl>
    <w:lvl w:ilvl="8">
      <w:start w:val="1"/>
      <w:numFmt w:val="lowerRoman"/>
      <w:lvlText w:val="%9"/>
      <w:lvlJc w:val="left"/>
      <w:pPr>
        <w:ind w:left="5396" w:hanging="360"/>
      </w:pPr>
      <w:rPr>
        <w:dstrike w:val="false"/>
        <w:strike w:val="false"/>
        <w:vertAlign w:val="baseline"/>
        <w:position w:val="0"/>
        <w:sz w:val="24"/>
        <w:sz w:val="24"/>
        <w:i w:val="false"/>
        <w:u w:val="none" w:color="000000"/>
        <w:b w:val="false"/>
        <w:highlight w:val="white"/>
        <w:szCs w:val="24"/>
        <w:rFonts w:eastAsia="Arial" w:cs="Arial"/>
        <w:color w:val="000000"/>
      </w:rPr>
    </w:lvl>
  </w:abstractNum>
  <w:abstractNum w:abstractNumId="2">
    <w:lvl w:ilvl="0">
      <w:start w:val="1"/>
      <w:numFmt w:val="bullet"/>
      <w:lvlText w:val="•"/>
      <w:lvlJc w:val="left"/>
      <w:pPr>
        <w:ind w:left="1843" w:hanging="360"/>
      </w:pPr>
      <w:rPr>
        <w:rFonts w:ascii="Arial" w:hAnsi="Arial" w:cs="Arial" w:hint="default"/>
        <w:dstrike w:val="false"/>
        <w:strike w:val="false"/>
        <w:vertAlign w:val="baseline"/>
        <w:position w:val="0"/>
        <w:sz w:val="24"/>
        <w:sz w:val="24"/>
        <w:i w:val="false"/>
        <w:u w:val="none" w:color="000000"/>
        <w:b w:val="false"/>
        <w:highlight w:val="white"/>
        <w:szCs w:val="24"/>
        <w:rFonts w:cs="Arial"/>
        <w:color w:val="000000"/>
      </w:rPr>
    </w:lvl>
    <w:lvl w:ilvl="1">
      <w:start w:val="1"/>
      <w:numFmt w:val="bullet"/>
      <w:lvlText w:val="o"/>
      <w:lvlJc w:val="left"/>
      <w:pPr>
        <w:ind w:left="2498"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2">
      <w:start w:val="1"/>
      <w:numFmt w:val="bullet"/>
      <w:lvlText w:val="▪"/>
      <w:lvlJc w:val="left"/>
      <w:pPr>
        <w:ind w:left="3218"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3">
      <w:start w:val="1"/>
      <w:numFmt w:val="bullet"/>
      <w:lvlText w:val="•"/>
      <w:lvlJc w:val="left"/>
      <w:pPr>
        <w:ind w:left="3938" w:hanging="360"/>
      </w:pPr>
      <w:rPr>
        <w:rFonts w:ascii="Arial" w:hAnsi="Arial" w:cs="Arial" w:hint="default"/>
        <w:dstrike w:val="false"/>
        <w:strike w:val="false"/>
        <w:vertAlign w:val="baseline"/>
        <w:position w:val="0"/>
        <w:sz w:val="24"/>
        <w:sz w:val="24"/>
        <w:i w:val="false"/>
        <w:u w:val="none" w:color="000000"/>
        <w:b w:val="false"/>
        <w:highlight w:val="white"/>
        <w:szCs w:val="24"/>
        <w:rFonts w:cs="Arial"/>
        <w:color w:val="000000"/>
      </w:rPr>
    </w:lvl>
    <w:lvl w:ilvl="4">
      <w:start w:val="1"/>
      <w:numFmt w:val="bullet"/>
      <w:lvlText w:val="o"/>
      <w:lvlJc w:val="left"/>
      <w:pPr>
        <w:ind w:left="4658"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5">
      <w:start w:val="1"/>
      <w:numFmt w:val="bullet"/>
      <w:lvlText w:val="▪"/>
      <w:lvlJc w:val="left"/>
      <w:pPr>
        <w:ind w:left="5378"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6">
      <w:start w:val="1"/>
      <w:numFmt w:val="bullet"/>
      <w:lvlText w:val="•"/>
      <w:lvlJc w:val="left"/>
      <w:pPr>
        <w:ind w:left="6098" w:hanging="360"/>
      </w:pPr>
      <w:rPr>
        <w:rFonts w:ascii="Arial" w:hAnsi="Arial" w:cs="Arial" w:hint="default"/>
        <w:dstrike w:val="false"/>
        <w:strike w:val="false"/>
        <w:vertAlign w:val="baseline"/>
        <w:position w:val="0"/>
        <w:sz w:val="24"/>
        <w:sz w:val="24"/>
        <w:i w:val="false"/>
        <w:u w:val="none" w:color="000000"/>
        <w:b w:val="false"/>
        <w:highlight w:val="white"/>
        <w:szCs w:val="24"/>
        <w:rFonts w:cs="Arial"/>
        <w:color w:val="000000"/>
      </w:rPr>
    </w:lvl>
    <w:lvl w:ilvl="7">
      <w:start w:val="1"/>
      <w:numFmt w:val="bullet"/>
      <w:lvlText w:val="o"/>
      <w:lvlJc w:val="left"/>
      <w:pPr>
        <w:ind w:left="6818"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lvl w:ilvl="8">
      <w:start w:val="1"/>
      <w:numFmt w:val="bullet"/>
      <w:lvlText w:val="▪"/>
      <w:lvlJc w:val="left"/>
      <w:pPr>
        <w:ind w:left="7538" w:hanging="360"/>
      </w:pPr>
      <w:rPr>
        <w:rFonts w:ascii="Segoe UI Symbol" w:hAnsi="Segoe UI Symbol" w:cs="Segoe UI Symbol" w:hint="default"/>
        <w:dstrike w:val="false"/>
        <w:strike w:val="false"/>
        <w:vertAlign w:val="baseline"/>
        <w:position w:val="0"/>
        <w:sz w:val="24"/>
        <w:sz w:val="24"/>
        <w:i w:val="false"/>
        <w:u w:val="none" w:color="000000"/>
        <w:b w:val="false"/>
        <w:highlight w:val="white"/>
        <w:szCs w:val="24"/>
        <w:rFonts w:cs="Segoe UI Symbol"/>
        <w:color w:val="00000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e0c26"/>
    <w:pPr>
      <w:widowControl/>
      <w:bidi w:val="0"/>
      <w:spacing w:lineRule="auto" w:line="247" w:before="0" w:after="30"/>
      <w:ind w:left="10" w:hanging="10"/>
      <w:jc w:val="both"/>
    </w:pPr>
    <w:rPr>
      <w:rFonts w:ascii="Arial" w:hAnsi="Arial" w:eastAsia="Arial" w:cs="Arial"/>
      <w:color w:val="000000"/>
      <w:sz w:val="24"/>
      <w:szCs w:val="22"/>
      <w:lang w:eastAsia="lv-LV" w:val="lv-LV" w:bidi="ar-SA"/>
    </w:rPr>
  </w:style>
  <w:style w:type="paragraph" w:styleId="Virsraksts1">
    <w:name w:val="Heading 1"/>
    <w:basedOn w:val="Virsraksts"/>
    <w:next w:val="Normal"/>
    <w:link w:val="Heading1Char"/>
    <w:uiPriority w:val="9"/>
    <w:unhideWhenUsed/>
    <w:qFormat/>
    <w:rsid w:val="007e0c26"/>
    <w:pPr>
      <w:keepNext/>
      <w:keepLines/>
      <w:widowControl/>
      <w:bidi w:val="0"/>
      <w:spacing w:before="240" w:after="0"/>
      <w:ind w:left="367" w:hanging="10"/>
      <w:jc w:val="center"/>
      <w:outlineLvl w:val="0"/>
    </w:pPr>
    <w:rPr>
      <w:rFonts w:ascii="Arial" w:hAnsi="Arial" w:eastAsia="Arial" w:cs="Arial"/>
      <w:b/>
      <w:color w:val="000000"/>
      <w:sz w:val="24"/>
      <w:lang w:eastAsia="lv-LV"/>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e0c26"/>
    <w:rPr>
      <w:rFonts w:ascii="Arial" w:hAnsi="Arial" w:eastAsia="Arial" w:cs="Arial"/>
      <w:b/>
      <w:color w:val="000000"/>
      <w:sz w:val="24"/>
      <w:lang w:eastAsia="lv-LV"/>
    </w:rPr>
  </w:style>
  <w:style w:type="character" w:styleId="Internetasaite">
    <w:name w:val="Interneta saite"/>
    <w:basedOn w:val="DefaultParagraphFont"/>
    <w:uiPriority w:val="99"/>
    <w:unhideWhenUsed/>
    <w:rsid w:val="007e0c26"/>
    <w:rPr>
      <w:color w:val="0563C1" w:themeColor="hyperlink"/>
      <w:u w:val="single"/>
    </w:rPr>
  </w:style>
  <w:style w:type="character" w:styleId="ListLabel1">
    <w:name w:val="ListLabel 1"/>
    <w:qFormat/>
    <w:rPr>
      <w:rFonts w:eastAsia="Arial" w:cs="Arial"/>
      <w:b/>
      <w:bCs/>
      <w:i w:val="false"/>
      <w:strike w:val="false"/>
      <w:dstrike w:val="false"/>
      <w:color w:val="000000"/>
      <w:position w:val="0"/>
      <w:sz w:val="24"/>
      <w:sz w:val="24"/>
      <w:szCs w:val="24"/>
      <w:highlight w:val="white"/>
      <w:u w:val="none" w:color="000000"/>
      <w:vertAlign w:val="baseline"/>
    </w:rPr>
  </w:style>
  <w:style w:type="character" w:styleId="ListLabel2">
    <w:name w:val="ListLabel 2"/>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3">
    <w:name w:val="ListLabel 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5">
    <w:name w:val="ListLabel 5"/>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6">
    <w:name w:val="ListLabel 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8">
    <w:name w:val="ListLabel 8"/>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9">
    <w:name w:val="ListLabel 9"/>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0">
    <w:name w:val="ListLabel 10"/>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1">
    <w:name w:val="ListLabel 11"/>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2">
    <w:name w:val="ListLabel 12"/>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3">
    <w:name w:val="ListLabel 13"/>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4">
    <w:name w:val="ListLabel 14"/>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5">
    <w:name w:val="ListLabel 15"/>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6">
    <w:name w:val="ListLabel 16"/>
    <w:qFormat/>
    <w:rPr>
      <w:rFonts w:eastAsia="Arial" w:cs="Arial"/>
      <w:b w:val="false"/>
      <w:i w:val="false"/>
      <w:strike w:val="false"/>
      <w:dstrike w:val="false"/>
      <w:color w:val="000000"/>
      <w:position w:val="0"/>
      <w:sz w:val="24"/>
      <w:sz w:val="24"/>
      <w:szCs w:val="24"/>
      <w:highlight w:val="white"/>
      <w:u w:val="none" w:color="000000"/>
      <w:vertAlign w:val="baseline"/>
    </w:rPr>
  </w:style>
  <w:style w:type="character" w:styleId="ListLabel17">
    <w:name w:val="ListLabel 17"/>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character" w:styleId="ListLabel18">
    <w:name w:val="ListLabel 18"/>
    <w:qFormat/>
    <w:rPr>
      <w:rFonts w:eastAsia="Segoe UI Symbol" w:cs="Segoe UI Symbol"/>
      <w:b w:val="false"/>
      <w:i w:val="false"/>
      <w:strike w:val="false"/>
      <w:dstrike w:val="false"/>
      <w:color w:val="000000"/>
      <w:position w:val="0"/>
      <w:sz w:val="24"/>
      <w:sz w:val="24"/>
      <w:szCs w:val="24"/>
      <w:highlight w:val="white"/>
      <w:u w:val="none" w:color="000000"/>
      <w:vertAlign w:val="baseline"/>
    </w:rPr>
  </w:style>
  <w:style w:type="paragraph" w:styleId="Virsraksts">
    <w:name w:val="Virsraksts"/>
    <w:basedOn w:val="Normal"/>
    <w:next w:val="Pamatteksts"/>
    <w:qFormat/>
    <w:pPr>
      <w:keepNext/>
      <w:spacing w:before="240" w:after="120"/>
    </w:pPr>
    <w:rPr>
      <w:rFonts w:ascii="Liberation Sans" w:hAnsi="Liberation Sans" w:eastAsia="Noto Sans CJK SC Regular" w:cs="FreeSans"/>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FreeSans"/>
    </w:rPr>
  </w:style>
  <w:style w:type="paragraph" w:styleId="Parakstsobjektam">
    <w:name w:val="Caption"/>
    <w:basedOn w:val="Normal"/>
    <w:qFormat/>
    <w:pPr>
      <w:suppressLineNumbers/>
      <w:spacing w:before="120" w:after="120"/>
    </w:pPr>
    <w:rPr>
      <w:rFonts w:cs="FreeSans"/>
      <w:i/>
      <w:iCs/>
      <w:sz w:val="24"/>
      <w:szCs w:val="24"/>
    </w:rPr>
  </w:style>
  <w:style w:type="paragraph" w:styleId="Rdtjs">
    <w:name w:val="Rādītājs"/>
    <w:basedOn w:val="Normal"/>
    <w:qFormat/>
    <w:pPr>
      <w:suppressLineNumbers/>
    </w:pPr>
    <w:rPr>
      <w:rFonts w:cs="FreeSans"/>
    </w:rPr>
  </w:style>
  <w:style w:type="paragraph" w:styleId="Kjene">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epu.lv/"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4</Pages>
  <Words>1014</Words>
  <Characters>6959</Characters>
  <CharactersWithSpaces>7985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2018-05-17T08:59:00Z</dcterms:created>
  <dc:creator>Oksana Luce</dc:creator>
  <dc:description/>
  <dc:language>lv-LV</dc:language>
  <cp:lastModifiedBy/>
  <dcterms:modified xsi:type="dcterms:W3CDTF">2018-05-17T16:41:07Z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